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Laquey Looks at Year Two Goals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Excitements: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building upon the foundation we have established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CRWP leadership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model argument teaching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curriculum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MORE RESOURCES!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We starred almost everything and we are on board.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Concerns: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co-teaching--what does it mean? schedule?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model argument teaching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connecting with resources. what? where?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reading and writing daily--not sure I can do it daily--big time commitment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concern about technology and Laquey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release time for consulting?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how to gather resources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what does connecting with resources mean in year two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is the list on resources online? free?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how frequently do students revise and edit?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when do we get to see the research and assessments?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Common Core assessment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</cp:coreProperties>
</file>